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54288139" w:rsidR="00DE1989" w:rsidRDefault="00DE1989" w:rsidP="001649A0">
      <w:pPr>
        <w:spacing w:line="360" w:lineRule="auto"/>
      </w:pPr>
      <w:r w:rsidRPr="00DE1989">
        <w:t xml:space="preserve">Today, </w:t>
      </w:r>
      <w:hyperlink r:id="rId8"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sdt>
        <w:sdtPr>
          <w:id w:val="-1133867453"/>
          <w:citation/>
        </w:sdtPr>
        <w:sdtContent>
          <w:r w:rsidR="002A5864">
            <w:fldChar w:fldCharType="begin"/>
          </w:r>
          <w:r w:rsidR="00480698">
            <w:instrText xml:space="preserve">CITATION Ful67 \l 1033 </w:instrText>
          </w:r>
          <w:r w:rsidR="002A5864">
            <w:fldChar w:fldCharType="separate"/>
          </w:r>
          <w:r w:rsidR="000203E0">
            <w:rPr>
              <w:noProof/>
            </w:rPr>
            <w:t xml:space="preserve"> (Fulton &amp; Bahre, 1967)</w:t>
          </w:r>
          <w:r w:rsidR="002A5864">
            <w:fldChar w:fldCharType="end"/>
          </w:r>
        </w:sdtContent>
      </w:sdt>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0C1B9D1B"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on the east bank of the San Pedro River, about nine miles west of Tombstone</w:t>
      </w:r>
      <w:r w:rsidR="00675068">
        <w:rPr>
          <w:rStyle w:val="FootnoteReference"/>
        </w:rPr>
        <w:footnoteReference w:id="1"/>
      </w:r>
      <w:r w:rsidR="00112E94">
        <w:t xml:space="preserv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7B2D845A" w:rsidR="00A90E94" w:rsidRDefault="00A90E94" w:rsidP="001649A0">
      <w:pPr>
        <w:spacing w:line="360" w:lineRule="auto"/>
      </w:pPr>
      <w:r>
        <w:t>As Charleston grew, it became the center of activity in that part of the county.</w:t>
      </w:r>
      <w:r w:rsidR="00CD4974">
        <w:t xml:space="preserve"> (See the </w:t>
      </w:r>
      <w:r w:rsidR="00C07691">
        <w:fldChar w:fldCharType="begin"/>
      </w:r>
      <w:r w:rsidR="00C07691">
        <w:instrText xml:space="preserve"> REF _Ref196210463 \h </w:instrText>
      </w:r>
      <w:r w:rsidR="00C07691">
        <w:fldChar w:fldCharType="separate"/>
      </w:r>
      <w:r w:rsidR="00C07691">
        <w:rPr>
          <w:noProof/>
        </w:rPr>
        <w:drawing>
          <wp:inline distT="0" distB="0" distL="0" distR="0" wp14:anchorId="44DB80B3" wp14:editId="33E534F6">
            <wp:extent cx="182880" cy="182880"/>
            <wp:effectExtent l="0" t="0" r="7620" b="7620"/>
            <wp:docPr id="1987830604"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C07691">
        <w:t>Newspaper Articles</w:t>
      </w:r>
      <w:r w:rsidR="00C07691">
        <w:fldChar w:fldCharType="end"/>
      </w:r>
      <w:r w:rsidR="00CD4974">
        <w:t xml:space="preserve"> for more information</w:t>
      </w:r>
      <w:r w:rsidR="00C07691">
        <w:t>.)</w:t>
      </w:r>
      <w:r>
        <w:t xml:space="preserve"> The US Deputy Collector of Customs was stationed there, and the Army made </w:t>
      </w:r>
      <w:r>
        <w:lastRenderedPageBreak/>
        <w:t xml:space="preserve">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Default="00F14A50" w:rsidP="001649A0">
      <w:pPr>
        <w:spacing w:line="360" w:lineRule="auto"/>
      </w:pPr>
      <w:r>
        <w:t>Following are a few of the important dates in Charleston’s history.</w:t>
      </w:r>
    </w:p>
    <w:p w14:paraId="403AF333" w14:textId="77777777" w:rsidR="00A24EE6" w:rsidRDefault="008D4DE3" w:rsidP="001649A0">
      <w:pPr>
        <w:spacing w:line="360" w:lineRule="auto"/>
      </w:pPr>
      <w:r>
        <w:fldChar w:fldCharType="begin"/>
      </w:r>
      <w:r>
        <w:instrText xml:space="preserve"> LINK </w:instrText>
      </w:r>
      <w:r w:rsidR="00EA4C02">
        <w:instrText xml:space="preserve">Excel.Sheet.12 "https://d.docs.live.net/e360ae2a04d95a64/Documents/Classes/CLL/Word/Student Files/Charleston-Table.xlsx" "Charleston Dates!R1C1:R8C2" </w:instrText>
      </w:r>
      <w:r>
        <w:instrText xml:space="preserve">\a \f 5 \h  \* MERGEFORMAT </w:instrText>
      </w:r>
      <w:r w:rsidR="00A24EE6">
        <w:fldChar w:fldCharType="separate"/>
      </w:r>
    </w:p>
    <w:tbl>
      <w:tblPr>
        <w:tblStyle w:val="GridTable4-Accent3"/>
        <w:tblW w:w="7920" w:type="dxa"/>
        <w:jc w:val="center"/>
        <w:tblLook w:val="04A0" w:firstRow="1" w:lastRow="0" w:firstColumn="1" w:lastColumn="0" w:noHBand="0" w:noVBand="1"/>
      </w:tblPr>
      <w:tblGrid>
        <w:gridCol w:w="2160"/>
        <w:gridCol w:w="5760"/>
      </w:tblGrid>
      <w:tr w:rsidR="00A24EE6" w:rsidRPr="00A24EE6" w14:paraId="1DF0D1DD" w14:textId="77777777" w:rsidTr="00A24EE6">
        <w:trPr>
          <w:cnfStyle w:val="100000000000" w:firstRow="1" w:lastRow="0" w:firstColumn="0" w:lastColumn="0" w:oddVBand="0" w:evenVBand="0" w:oddHBand="0" w:evenHBand="0" w:firstRowFirstColumn="0" w:firstRowLastColumn="0" w:lastRowFirstColumn="0" w:lastRowLastColumn="0"/>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381A0F3A" w14:textId="627BBE28" w:rsidR="00A24EE6" w:rsidRPr="00A24EE6" w:rsidRDefault="00A24EE6" w:rsidP="00A24EE6">
            <w:r w:rsidRPr="00A24EE6">
              <w:t>Date</w:t>
            </w:r>
          </w:p>
        </w:tc>
        <w:tc>
          <w:tcPr>
            <w:tcW w:w="5760" w:type="dxa"/>
            <w:noWrap/>
            <w:hideMark/>
          </w:tcPr>
          <w:p w14:paraId="5AC6F6A4" w14:textId="77777777" w:rsidR="00A24EE6" w:rsidRPr="00A24EE6" w:rsidRDefault="00A24EE6" w:rsidP="00A24EE6">
            <w:pPr>
              <w:cnfStyle w:val="100000000000" w:firstRow="1" w:lastRow="0" w:firstColumn="0" w:lastColumn="0" w:oddVBand="0" w:evenVBand="0" w:oddHBand="0" w:evenHBand="0" w:firstRowFirstColumn="0" w:firstRowLastColumn="0" w:lastRowFirstColumn="0" w:lastRowLastColumn="0"/>
            </w:pPr>
            <w:r w:rsidRPr="00A24EE6">
              <w:t>Event</w:t>
            </w:r>
          </w:p>
        </w:tc>
      </w:tr>
      <w:tr w:rsidR="00A24EE6" w:rsidRPr="00A24EE6" w14:paraId="53A0BE21" w14:textId="77777777" w:rsidTr="00A24EE6">
        <w:trPr>
          <w:cnfStyle w:val="000000100000" w:firstRow="0" w:lastRow="0" w:firstColumn="0" w:lastColumn="0" w:oddVBand="0" w:evenVBand="0" w:oddHBand="1" w:evenHBand="0" w:firstRowFirstColumn="0" w:firstRowLastColumn="0" w:lastRowFirstColumn="0" w:lastRowLastColumn="0"/>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3AAFCE6C" w14:textId="77777777" w:rsidR="00A24EE6" w:rsidRPr="00A24EE6" w:rsidRDefault="00A24EE6" w:rsidP="00A24EE6">
            <w:r w:rsidRPr="00A24EE6">
              <w:t>October 28, 1878</w:t>
            </w:r>
          </w:p>
        </w:tc>
        <w:tc>
          <w:tcPr>
            <w:tcW w:w="5760" w:type="dxa"/>
            <w:noWrap/>
            <w:hideMark/>
          </w:tcPr>
          <w:p w14:paraId="058ED57D" w14:textId="77777777" w:rsidR="00A24EE6" w:rsidRPr="00A24EE6" w:rsidRDefault="00A24EE6" w:rsidP="00A24EE6">
            <w:pPr>
              <w:cnfStyle w:val="000000100000" w:firstRow="0" w:lastRow="0" w:firstColumn="0" w:lastColumn="0" w:oddVBand="0" w:evenVBand="0" w:oddHBand="1" w:evenHBand="0" w:firstRowFirstColumn="0" w:firstRowLastColumn="0" w:lastRowFirstColumn="0" w:lastRowLastColumn="0"/>
            </w:pPr>
            <w:r w:rsidRPr="00A24EE6">
              <w:t>Claim that would eventually become Charleston recorded.</w:t>
            </w:r>
          </w:p>
        </w:tc>
      </w:tr>
      <w:tr w:rsidR="00A24EE6" w:rsidRPr="00A24EE6" w14:paraId="092D62FB" w14:textId="77777777" w:rsidTr="00A24EE6">
        <w:trPr>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58AAC7C9" w14:textId="77777777" w:rsidR="00A24EE6" w:rsidRPr="00A24EE6" w:rsidRDefault="00A24EE6" w:rsidP="00A24EE6">
            <w:r w:rsidRPr="00A24EE6">
              <w:t>February 1, 1879</w:t>
            </w:r>
          </w:p>
        </w:tc>
        <w:tc>
          <w:tcPr>
            <w:tcW w:w="5760" w:type="dxa"/>
            <w:noWrap/>
            <w:hideMark/>
          </w:tcPr>
          <w:p w14:paraId="2ABF5505" w14:textId="77777777" w:rsidR="00A24EE6" w:rsidRPr="00A24EE6" w:rsidRDefault="00A24EE6" w:rsidP="00A24EE6">
            <w:pPr>
              <w:cnfStyle w:val="000000000000" w:firstRow="0" w:lastRow="0" w:firstColumn="0" w:lastColumn="0" w:oddVBand="0" w:evenVBand="0" w:oddHBand="0" w:evenHBand="0" w:firstRowFirstColumn="0" w:firstRowLastColumn="0" w:lastRowFirstColumn="0" w:lastRowLastColumn="0"/>
            </w:pPr>
            <w:r w:rsidRPr="00A24EE6">
              <w:t>Charleston townsite was laid out.</w:t>
            </w:r>
          </w:p>
        </w:tc>
      </w:tr>
      <w:tr w:rsidR="00A24EE6" w:rsidRPr="00A24EE6" w14:paraId="7228E0CE" w14:textId="77777777" w:rsidTr="00A24EE6">
        <w:trPr>
          <w:cnfStyle w:val="000000100000" w:firstRow="0" w:lastRow="0" w:firstColumn="0" w:lastColumn="0" w:oddVBand="0" w:evenVBand="0" w:oddHBand="1" w:evenHBand="0" w:firstRowFirstColumn="0" w:firstRowLastColumn="0" w:lastRowFirstColumn="0" w:lastRowLastColumn="0"/>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2D3AF992" w14:textId="77777777" w:rsidR="00A24EE6" w:rsidRPr="00A24EE6" w:rsidRDefault="00A24EE6" w:rsidP="00A24EE6">
            <w:r w:rsidRPr="00A24EE6">
              <w:t>April 17, 1879</w:t>
            </w:r>
          </w:p>
        </w:tc>
        <w:tc>
          <w:tcPr>
            <w:tcW w:w="5760" w:type="dxa"/>
            <w:noWrap/>
            <w:hideMark/>
          </w:tcPr>
          <w:p w14:paraId="4A852D55" w14:textId="77777777" w:rsidR="00A24EE6" w:rsidRPr="00A24EE6" w:rsidRDefault="00A24EE6" w:rsidP="00A24EE6">
            <w:pPr>
              <w:cnfStyle w:val="000000100000" w:firstRow="0" w:lastRow="0" w:firstColumn="0" w:lastColumn="0" w:oddVBand="0" w:evenVBand="0" w:oddHBand="1" w:evenHBand="0" w:firstRowFirstColumn="0" w:firstRowLastColumn="0" w:lastRowFirstColumn="0" w:lastRowLastColumn="0"/>
            </w:pPr>
            <w:r w:rsidRPr="00A24EE6">
              <w:t>Charleston post office opened.</w:t>
            </w:r>
          </w:p>
        </w:tc>
      </w:tr>
      <w:tr w:rsidR="00A24EE6" w:rsidRPr="00A24EE6" w14:paraId="309A31B7" w14:textId="77777777" w:rsidTr="00A24EE6">
        <w:trPr>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25453141" w14:textId="77777777" w:rsidR="00A24EE6" w:rsidRPr="00A24EE6" w:rsidRDefault="00A24EE6" w:rsidP="00A24EE6">
            <w:r w:rsidRPr="00A24EE6">
              <w:t>June 1, 1879</w:t>
            </w:r>
          </w:p>
        </w:tc>
        <w:tc>
          <w:tcPr>
            <w:tcW w:w="5760" w:type="dxa"/>
            <w:noWrap/>
            <w:hideMark/>
          </w:tcPr>
          <w:p w14:paraId="6A7F4C2C" w14:textId="77777777" w:rsidR="00A24EE6" w:rsidRPr="00A24EE6" w:rsidRDefault="00A24EE6" w:rsidP="00A24EE6">
            <w:pPr>
              <w:cnfStyle w:val="000000000000" w:firstRow="0" w:lastRow="0" w:firstColumn="0" w:lastColumn="0" w:oddVBand="0" w:evenVBand="0" w:oddHBand="0" w:evenHBand="0" w:firstRowFirstColumn="0" w:firstRowLastColumn="0" w:lastRowFirstColumn="0" w:lastRowLastColumn="0"/>
            </w:pPr>
            <w:r w:rsidRPr="00A24EE6">
              <w:t>The Tombstone Mill and Mining Company put a ten-stamp mill in operation.</w:t>
            </w:r>
          </w:p>
        </w:tc>
      </w:tr>
      <w:tr w:rsidR="00A24EE6" w:rsidRPr="00A24EE6" w14:paraId="18AF69D9" w14:textId="77777777" w:rsidTr="00A24EE6">
        <w:trPr>
          <w:cnfStyle w:val="000000100000" w:firstRow="0" w:lastRow="0" w:firstColumn="0" w:lastColumn="0" w:oddVBand="0" w:evenVBand="0" w:oddHBand="1" w:evenHBand="0" w:firstRowFirstColumn="0" w:firstRowLastColumn="0" w:lastRowFirstColumn="0" w:lastRowLastColumn="0"/>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26720B61" w14:textId="77777777" w:rsidR="00A24EE6" w:rsidRPr="00A24EE6" w:rsidRDefault="00A24EE6" w:rsidP="00A24EE6">
            <w:r w:rsidRPr="00A24EE6">
              <w:t>May 1886</w:t>
            </w:r>
          </w:p>
        </w:tc>
        <w:tc>
          <w:tcPr>
            <w:tcW w:w="5760" w:type="dxa"/>
            <w:noWrap/>
            <w:hideMark/>
          </w:tcPr>
          <w:p w14:paraId="002B502C" w14:textId="77777777" w:rsidR="00A24EE6" w:rsidRPr="00A24EE6" w:rsidRDefault="00A24EE6" w:rsidP="00A24EE6">
            <w:pPr>
              <w:cnfStyle w:val="000000100000" w:firstRow="0" w:lastRow="0" w:firstColumn="0" w:lastColumn="0" w:oddVBand="0" w:evenVBand="0" w:oddHBand="1" w:evenHBand="0" w:firstRowFirstColumn="0" w:firstRowLastColumn="0" w:lastRowFirstColumn="0" w:lastRowLastColumn="0"/>
            </w:pPr>
            <w:r w:rsidRPr="00A24EE6">
              <w:t>Milling activity had moved to Tombstone and the Mills at Charleston were closed.</w:t>
            </w:r>
          </w:p>
        </w:tc>
      </w:tr>
      <w:tr w:rsidR="00A24EE6" w:rsidRPr="00A24EE6" w14:paraId="36B38B0F" w14:textId="77777777" w:rsidTr="00A24EE6">
        <w:trPr>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1C7C76B6" w14:textId="77777777" w:rsidR="00A24EE6" w:rsidRPr="00A24EE6" w:rsidRDefault="00A24EE6" w:rsidP="00A24EE6">
            <w:r w:rsidRPr="00A24EE6">
              <w:t>May 3, 1887</w:t>
            </w:r>
          </w:p>
        </w:tc>
        <w:tc>
          <w:tcPr>
            <w:tcW w:w="5760" w:type="dxa"/>
            <w:noWrap/>
            <w:hideMark/>
          </w:tcPr>
          <w:p w14:paraId="6DE2F3E5" w14:textId="77777777" w:rsidR="00A24EE6" w:rsidRPr="00A24EE6" w:rsidRDefault="00A24EE6" w:rsidP="00A24EE6">
            <w:pPr>
              <w:cnfStyle w:val="000000000000" w:firstRow="0" w:lastRow="0" w:firstColumn="0" w:lastColumn="0" w:oddVBand="0" w:evenVBand="0" w:oddHBand="0" w:evenHBand="0" w:firstRowFirstColumn="0" w:firstRowLastColumn="0" w:lastRowFirstColumn="0" w:lastRowLastColumn="0"/>
            </w:pPr>
            <w:r w:rsidRPr="00A24EE6">
              <w:t>An earthquake jarred Charleston and several buildings sustained  damage.</w:t>
            </w:r>
          </w:p>
        </w:tc>
      </w:tr>
      <w:tr w:rsidR="00A24EE6" w:rsidRPr="00A24EE6" w14:paraId="3133C35F" w14:textId="77777777" w:rsidTr="00A24EE6">
        <w:trPr>
          <w:cnfStyle w:val="000000100000" w:firstRow="0" w:lastRow="0" w:firstColumn="0" w:lastColumn="0" w:oddVBand="0" w:evenVBand="0" w:oddHBand="1" w:evenHBand="0" w:firstRowFirstColumn="0" w:firstRowLastColumn="0" w:lastRowFirstColumn="0" w:lastRowLastColumn="0"/>
          <w:divId w:val="2053267381"/>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20EA8376" w14:textId="77777777" w:rsidR="00A24EE6" w:rsidRPr="00A24EE6" w:rsidRDefault="00A24EE6" w:rsidP="00A24EE6">
            <w:r w:rsidRPr="00A24EE6">
              <w:t>October 24, 1888</w:t>
            </w:r>
          </w:p>
        </w:tc>
        <w:tc>
          <w:tcPr>
            <w:tcW w:w="5760" w:type="dxa"/>
            <w:noWrap/>
            <w:hideMark/>
          </w:tcPr>
          <w:p w14:paraId="5FC20481" w14:textId="77777777" w:rsidR="00A24EE6" w:rsidRPr="00A24EE6" w:rsidRDefault="00A24EE6" w:rsidP="00A24EE6">
            <w:pPr>
              <w:cnfStyle w:val="000000100000" w:firstRow="0" w:lastRow="0" w:firstColumn="0" w:lastColumn="0" w:oddVBand="0" w:evenVBand="0" w:oddHBand="1" w:evenHBand="0" w:firstRowFirstColumn="0" w:firstRowLastColumn="0" w:lastRowFirstColumn="0" w:lastRowLastColumn="0"/>
            </w:pPr>
            <w:r w:rsidRPr="00A24EE6">
              <w:t>Postal service was transferred to Fairbank.</w:t>
            </w:r>
          </w:p>
        </w:tc>
      </w:tr>
    </w:tbl>
    <w:p w14:paraId="18FA70D4" w14:textId="50F5F796" w:rsidR="00F14A50" w:rsidRDefault="008D4DE3" w:rsidP="001649A0">
      <w:pPr>
        <w:spacing w:line="360" w:lineRule="auto"/>
      </w:pPr>
      <w:r>
        <w:fldChar w:fldCharType="end"/>
      </w:r>
    </w:p>
    <w:p w14:paraId="55162AD9" w14:textId="0CBEF9C8" w:rsidR="00CD3549" w:rsidRDefault="004C24EB" w:rsidP="009006A2">
      <w:pPr>
        <w:pStyle w:val="Heading2"/>
      </w:pPr>
      <w:bookmarkStart w:id="0" w:name="_Ref196210463"/>
      <w:r>
        <w:rPr>
          <w:noProof/>
        </w:rPr>
        <w:drawing>
          <wp:inline distT="0" distB="0" distL="0" distR="0" wp14:anchorId="15811F69" wp14:editId="192E3C61">
            <wp:extent cx="182880" cy="182880"/>
            <wp:effectExtent l="0" t="0" r="7620" b="7620"/>
            <wp:docPr id="1445574671"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6E70BB">
        <w:t>Newspaper Articles</w:t>
      </w:r>
      <w:bookmarkEnd w:id="0"/>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visit, and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that Charleston derived its existence </w:t>
      </w:r>
      <w:r w:rsidRPr="008707A8">
        <w:rPr>
          <w:rStyle w:val="SubtleEmphasis"/>
        </w:rPr>
        <w:lastRenderedPageBreak/>
        <w:t>entirely from the employees of the mill, but in fact it has a very extensive trade with the surrounding country and Sonora. The Mexican business is daily becoming more important, and will continue to increase until it reaches very large proportions. The town is well regulated and free from turmoil. In fact it is one of the most peaceful places we were ever in.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11"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Waffle &amp; Garlock, the former taught school, and the latter worked in the Corbin mill. Both resigned their situations and started into the butchering business and are now doing all the business of this town, having no opposition. They also recently purchased the okay corral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ago Herrera &amp; McClure came to this town, the former worked as a mill hand for short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since, </w:t>
      </w:r>
      <w:r w:rsidRPr="007C15CD">
        <w:rPr>
          <w:rStyle w:val="SubtleEmphasis"/>
        </w:rPr>
        <w:lastRenderedPageBreak/>
        <w:t>and today are well fixed and stand A No 1 in this place and also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ago he returned and built himself another large Adobe store and commenced business again and is now doing a good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We ought to mention several other businessmen here but as we do not like to trespass upon the Charleston column, we will wait until next Saturday when we will resume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26478C8A" w:rsidR="009135EF" w:rsidRDefault="00AA05EF" w:rsidP="001649A0">
      <w:pPr>
        <w:spacing w:line="360" w:lineRule="auto"/>
      </w:pPr>
      <w:r>
        <w:rPr>
          <w:noProof/>
        </w:rPr>
        <w:drawing>
          <wp:anchor distT="0" distB="0" distL="114300" distR="114300" simplePos="0" relativeHeight="251660288" behindDoc="0" locked="0" layoutInCell="1" allowOverlap="1" wp14:anchorId="550BED81" wp14:editId="7AC4F34B">
            <wp:simplePos x="0" y="0"/>
            <wp:positionH relativeFrom="margin">
              <wp:posOffset>1142682</wp:posOffset>
            </wp:positionH>
            <wp:positionV relativeFrom="paragraph">
              <wp:posOffset>-197802</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7D0A04DC" w14:textId="57BD16B5" w:rsidR="00F4446C" w:rsidRDefault="00F4446C" w:rsidP="001649A0">
      <w:pPr>
        <w:spacing w:line="360" w:lineRule="auto"/>
      </w:pPr>
      <w:r>
        <w:br w:type="page"/>
      </w:r>
    </w:p>
    <w:sdt>
      <w:sdtPr>
        <w:rPr>
          <w:rFonts w:asciiTheme="minorHAnsi" w:eastAsiaTheme="minorEastAsia" w:hAnsiTheme="minorHAnsi" w:cstheme="minorBidi"/>
          <w:color w:val="auto"/>
          <w:sz w:val="21"/>
          <w:szCs w:val="21"/>
        </w:rPr>
        <w:id w:val="-1115442904"/>
        <w:docPartObj>
          <w:docPartGallery w:val="Bibliographies"/>
          <w:docPartUnique/>
        </w:docPartObj>
      </w:sdtPr>
      <w:sdtContent>
        <w:p w14:paraId="0DC114E1" w14:textId="67F28AC2" w:rsidR="00C54D98" w:rsidRDefault="00C54D98">
          <w:pPr>
            <w:pStyle w:val="Heading1"/>
          </w:pPr>
          <w:r>
            <w:t>Bibliography</w:t>
          </w:r>
        </w:p>
        <w:sdt>
          <w:sdtPr>
            <w:id w:val="111145805"/>
            <w:bibliography/>
          </w:sdtPr>
          <w:sdtContent>
            <w:p w14:paraId="795FFD75" w14:textId="77777777" w:rsidR="000203E0" w:rsidRDefault="00C54D98" w:rsidP="000203E0">
              <w:pPr>
                <w:pStyle w:val="Bibliography"/>
                <w:ind w:left="720" w:hanging="720"/>
                <w:rPr>
                  <w:noProof/>
                  <w:sz w:val="24"/>
                  <w:szCs w:val="24"/>
                </w:rPr>
              </w:pPr>
              <w:r>
                <w:fldChar w:fldCharType="begin"/>
              </w:r>
              <w:r>
                <w:instrText xml:space="preserve"> BIBLIOGRAPHY </w:instrText>
              </w:r>
              <w:r>
                <w:fldChar w:fldCharType="separate"/>
              </w:r>
              <w:r w:rsidR="000203E0">
                <w:rPr>
                  <w:noProof/>
                </w:rPr>
                <w:t xml:space="preserve">Fulton, R. W., &amp; Bahre, C. J. (1967). Charleston, Arizona: A Documentary Reconstruction. </w:t>
              </w:r>
              <w:r w:rsidR="000203E0">
                <w:rPr>
                  <w:i/>
                  <w:iCs/>
                  <w:noProof/>
                </w:rPr>
                <w:t>Arizona and the West</w:t>
              </w:r>
              <w:r w:rsidR="000203E0">
                <w:rPr>
                  <w:noProof/>
                </w:rPr>
                <w:t>, 41-64.</w:t>
              </w:r>
            </w:p>
            <w:p w14:paraId="434ABC67" w14:textId="1D628770" w:rsidR="00C54D98" w:rsidRDefault="00C54D98" w:rsidP="000203E0">
              <w:r>
                <w:rPr>
                  <w:b/>
                  <w:bCs/>
                  <w:noProof/>
                </w:rPr>
                <w:fldChar w:fldCharType="end"/>
              </w:r>
            </w:p>
          </w:sdtContent>
        </w:sdt>
      </w:sdtContent>
    </w:sdt>
    <w:p w14:paraId="0C1CF9FE" w14:textId="77777777" w:rsidR="001F29B0" w:rsidRDefault="001F29B0" w:rsidP="001649A0">
      <w:pPr>
        <w:spacing w:line="360" w:lineRule="auto"/>
      </w:pPr>
    </w:p>
    <w:sectPr w:rsidR="001F29B0" w:rsidSect="00054FFB">
      <w:headerReference w:type="default" r:id="rId13"/>
      <w:footerReference w:type="default" r:id="rId14"/>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57650" w14:textId="77777777" w:rsidR="008A5CB1" w:rsidRDefault="008A5CB1" w:rsidP="00020DE3">
      <w:pPr>
        <w:spacing w:after="0" w:line="240" w:lineRule="auto"/>
      </w:pPr>
      <w:r>
        <w:separator/>
      </w:r>
    </w:p>
  </w:endnote>
  <w:endnote w:type="continuationSeparator" w:id="0">
    <w:p w14:paraId="34E6BA97" w14:textId="77777777" w:rsidR="008A5CB1" w:rsidRDefault="008A5CB1"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E654" w14:textId="77777777" w:rsidR="008A5CB1" w:rsidRDefault="008A5CB1" w:rsidP="00020DE3">
      <w:pPr>
        <w:spacing w:after="0" w:line="240" w:lineRule="auto"/>
      </w:pPr>
      <w:r>
        <w:separator/>
      </w:r>
    </w:p>
  </w:footnote>
  <w:footnote w:type="continuationSeparator" w:id="0">
    <w:p w14:paraId="4729DDF7" w14:textId="77777777" w:rsidR="008A5CB1" w:rsidRDefault="008A5CB1" w:rsidP="00020DE3">
      <w:pPr>
        <w:spacing w:after="0" w:line="240" w:lineRule="auto"/>
      </w:pPr>
      <w:r>
        <w:continuationSeparator/>
      </w:r>
    </w:p>
  </w:footnote>
  <w:footnote w:id="1">
    <w:p w14:paraId="1A66C870" w14:textId="77C1082F" w:rsidR="00675068" w:rsidRDefault="00675068">
      <w:pPr>
        <w:pStyle w:val="FootnoteText"/>
      </w:pPr>
      <w:r>
        <w:rPr>
          <w:rStyle w:val="FootnoteReference"/>
        </w:rPr>
        <w:footnoteRef/>
      </w:r>
      <w:r>
        <w:t xml:space="preserve"> There is nothing remaining of the Millville </w:t>
      </w:r>
      <w:r w:rsidR="005B3CA9">
        <w:t>site today.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3E0"/>
    <w:rsid w:val="00020DE3"/>
    <w:rsid w:val="00031AB4"/>
    <w:rsid w:val="00054481"/>
    <w:rsid w:val="00054FFB"/>
    <w:rsid w:val="000A560F"/>
    <w:rsid w:val="001031CD"/>
    <w:rsid w:val="00112E94"/>
    <w:rsid w:val="001603C3"/>
    <w:rsid w:val="001649A0"/>
    <w:rsid w:val="00175533"/>
    <w:rsid w:val="001E0C81"/>
    <w:rsid w:val="001E6573"/>
    <w:rsid w:val="001F29B0"/>
    <w:rsid w:val="00224EDB"/>
    <w:rsid w:val="0022639B"/>
    <w:rsid w:val="00272AF9"/>
    <w:rsid w:val="002976A7"/>
    <w:rsid w:val="002A5864"/>
    <w:rsid w:val="003111D3"/>
    <w:rsid w:val="00325BD8"/>
    <w:rsid w:val="0035600A"/>
    <w:rsid w:val="003A145E"/>
    <w:rsid w:val="003D3437"/>
    <w:rsid w:val="003E5427"/>
    <w:rsid w:val="00422A8B"/>
    <w:rsid w:val="00425D29"/>
    <w:rsid w:val="00466FF0"/>
    <w:rsid w:val="004711FA"/>
    <w:rsid w:val="00480698"/>
    <w:rsid w:val="00487631"/>
    <w:rsid w:val="00491BA5"/>
    <w:rsid w:val="004C24EB"/>
    <w:rsid w:val="004E0843"/>
    <w:rsid w:val="004E2CF9"/>
    <w:rsid w:val="00503249"/>
    <w:rsid w:val="005065C0"/>
    <w:rsid w:val="00510EE9"/>
    <w:rsid w:val="00524703"/>
    <w:rsid w:val="005307AA"/>
    <w:rsid w:val="005B3CA9"/>
    <w:rsid w:val="00663A40"/>
    <w:rsid w:val="00675068"/>
    <w:rsid w:val="00675E1D"/>
    <w:rsid w:val="006C1CEA"/>
    <w:rsid w:val="006E70BB"/>
    <w:rsid w:val="006F773E"/>
    <w:rsid w:val="00712BE9"/>
    <w:rsid w:val="00754332"/>
    <w:rsid w:val="00761660"/>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A5CB1"/>
    <w:rsid w:val="008B21BB"/>
    <w:rsid w:val="008C2032"/>
    <w:rsid w:val="008C40C7"/>
    <w:rsid w:val="008D310C"/>
    <w:rsid w:val="008D4DE3"/>
    <w:rsid w:val="008E2BDF"/>
    <w:rsid w:val="008F1745"/>
    <w:rsid w:val="009006A2"/>
    <w:rsid w:val="009135EF"/>
    <w:rsid w:val="00943355"/>
    <w:rsid w:val="00950E02"/>
    <w:rsid w:val="00957832"/>
    <w:rsid w:val="00974424"/>
    <w:rsid w:val="009A695E"/>
    <w:rsid w:val="009E10A8"/>
    <w:rsid w:val="009F536A"/>
    <w:rsid w:val="00A17C16"/>
    <w:rsid w:val="00A23D17"/>
    <w:rsid w:val="00A24EE6"/>
    <w:rsid w:val="00A31301"/>
    <w:rsid w:val="00A559F0"/>
    <w:rsid w:val="00A77CF6"/>
    <w:rsid w:val="00A90E94"/>
    <w:rsid w:val="00AA05EF"/>
    <w:rsid w:val="00AC2495"/>
    <w:rsid w:val="00AC4E3B"/>
    <w:rsid w:val="00AE74F7"/>
    <w:rsid w:val="00AF3686"/>
    <w:rsid w:val="00B04776"/>
    <w:rsid w:val="00B22890"/>
    <w:rsid w:val="00B2715B"/>
    <w:rsid w:val="00B434A2"/>
    <w:rsid w:val="00B63368"/>
    <w:rsid w:val="00B66198"/>
    <w:rsid w:val="00C07691"/>
    <w:rsid w:val="00C40666"/>
    <w:rsid w:val="00C46ECE"/>
    <w:rsid w:val="00C54D98"/>
    <w:rsid w:val="00C9671B"/>
    <w:rsid w:val="00CD3549"/>
    <w:rsid w:val="00CD4974"/>
    <w:rsid w:val="00D2250A"/>
    <w:rsid w:val="00D249E3"/>
    <w:rsid w:val="00D71295"/>
    <w:rsid w:val="00DA331B"/>
    <w:rsid w:val="00DB5FC3"/>
    <w:rsid w:val="00DE1989"/>
    <w:rsid w:val="00E047A2"/>
    <w:rsid w:val="00E4546C"/>
    <w:rsid w:val="00E83BC4"/>
    <w:rsid w:val="00EA4C02"/>
    <w:rsid w:val="00F04230"/>
    <w:rsid w:val="00F0477B"/>
    <w:rsid w:val="00F14A50"/>
    <w:rsid w:val="00F4446C"/>
    <w:rsid w:val="00F54637"/>
    <w:rsid w:val="00F92A19"/>
    <w:rsid w:val="00FA4DDC"/>
    <w:rsid w:val="00FB0D5A"/>
    <w:rsid w:val="00FC3B30"/>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 w:type="paragraph" w:styleId="Bibliography">
    <w:name w:val="Bibliography"/>
    <w:basedOn w:val="Normal"/>
    <w:next w:val="Normal"/>
    <w:uiPriority w:val="37"/>
    <w:unhideWhenUsed/>
    <w:rsid w:val="00C54D98"/>
  </w:style>
  <w:style w:type="paragraph" w:styleId="FootnoteText">
    <w:name w:val="footnote text"/>
    <w:basedOn w:val="Normal"/>
    <w:link w:val="FootnoteTextChar"/>
    <w:uiPriority w:val="99"/>
    <w:semiHidden/>
    <w:unhideWhenUsed/>
    <w:rsid w:val="006750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068"/>
    <w:rPr>
      <w:sz w:val="20"/>
      <w:szCs w:val="20"/>
    </w:rPr>
  </w:style>
  <w:style w:type="character" w:styleId="FootnoteReference">
    <w:name w:val="footnote reference"/>
    <w:basedOn w:val="DefaultParagraphFont"/>
    <w:uiPriority w:val="99"/>
    <w:semiHidden/>
    <w:unhideWhenUsed/>
    <w:rsid w:val="006750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2385">
      <w:bodyDiv w:val="1"/>
      <w:marLeft w:val="0"/>
      <w:marRight w:val="0"/>
      <w:marTop w:val="0"/>
      <w:marBottom w:val="0"/>
      <w:divBdr>
        <w:top w:val="none" w:sz="0" w:space="0" w:color="auto"/>
        <w:left w:val="none" w:sz="0" w:space="0" w:color="auto"/>
        <w:bottom w:val="none" w:sz="0" w:space="0" w:color="auto"/>
        <w:right w:val="none" w:sz="0" w:space="0" w:color="auto"/>
      </w:divBdr>
    </w:div>
    <w:div w:id="301933040">
      <w:bodyDiv w:val="1"/>
      <w:marLeft w:val="0"/>
      <w:marRight w:val="0"/>
      <w:marTop w:val="0"/>
      <w:marBottom w:val="0"/>
      <w:divBdr>
        <w:top w:val="none" w:sz="0" w:space="0" w:color="auto"/>
        <w:left w:val="none" w:sz="0" w:space="0" w:color="auto"/>
        <w:bottom w:val="none" w:sz="0" w:space="0" w:color="auto"/>
        <w:right w:val="none" w:sz="0" w:space="0" w:color="auto"/>
      </w:divBdr>
    </w:div>
    <w:div w:id="321979106">
      <w:bodyDiv w:val="1"/>
      <w:marLeft w:val="0"/>
      <w:marRight w:val="0"/>
      <w:marTop w:val="0"/>
      <w:marBottom w:val="0"/>
      <w:divBdr>
        <w:top w:val="none" w:sz="0" w:space="0" w:color="auto"/>
        <w:left w:val="none" w:sz="0" w:space="0" w:color="auto"/>
        <w:bottom w:val="none" w:sz="0" w:space="0" w:color="auto"/>
        <w:right w:val="none" w:sz="0" w:space="0" w:color="auto"/>
      </w:divBdr>
    </w:div>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753623890">
      <w:bodyDiv w:val="1"/>
      <w:marLeft w:val="0"/>
      <w:marRight w:val="0"/>
      <w:marTop w:val="0"/>
      <w:marBottom w:val="0"/>
      <w:divBdr>
        <w:top w:val="none" w:sz="0" w:space="0" w:color="auto"/>
        <w:left w:val="none" w:sz="0" w:space="0" w:color="auto"/>
        <w:bottom w:val="none" w:sz="0" w:space="0" w:color="auto"/>
        <w:right w:val="none" w:sz="0" w:space="0" w:color="auto"/>
      </w:divBdr>
    </w:div>
    <w:div w:id="764769365">
      <w:bodyDiv w:val="1"/>
      <w:marLeft w:val="0"/>
      <w:marRight w:val="0"/>
      <w:marTop w:val="0"/>
      <w:marBottom w:val="0"/>
      <w:divBdr>
        <w:top w:val="none" w:sz="0" w:space="0" w:color="auto"/>
        <w:left w:val="none" w:sz="0" w:space="0" w:color="auto"/>
        <w:bottom w:val="none" w:sz="0" w:space="0" w:color="auto"/>
        <w:right w:val="none" w:sz="0" w:space="0" w:color="auto"/>
      </w:divBdr>
    </w:div>
    <w:div w:id="827214130">
      <w:bodyDiv w:val="1"/>
      <w:marLeft w:val="0"/>
      <w:marRight w:val="0"/>
      <w:marTop w:val="0"/>
      <w:marBottom w:val="0"/>
      <w:divBdr>
        <w:top w:val="none" w:sz="0" w:space="0" w:color="auto"/>
        <w:left w:val="none" w:sz="0" w:space="0" w:color="auto"/>
        <w:bottom w:val="none" w:sz="0" w:space="0" w:color="auto"/>
        <w:right w:val="none" w:sz="0" w:space="0" w:color="auto"/>
      </w:divBdr>
    </w:div>
    <w:div w:id="1040743952">
      <w:bodyDiv w:val="1"/>
      <w:marLeft w:val="0"/>
      <w:marRight w:val="0"/>
      <w:marTop w:val="0"/>
      <w:marBottom w:val="0"/>
      <w:divBdr>
        <w:top w:val="none" w:sz="0" w:space="0" w:color="auto"/>
        <w:left w:val="none" w:sz="0" w:space="0" w:color="auto"/>
        <w:bottom w:val="none" w:sz="0" w:space="0" w:color="auto"/>
        <w:right w:val="none" w:sz="0" w:space="0" w:color="auto"/>
      </w:divBdr>
    </w:div>
    <w:div w:id="1046904368">
      <w:bodyDiv w:val="1"/>
      <w:marLeft w:val="0"/>
      <w:marRight w:val="0"/>
      <w:marTop w:val="0"/>
      <w:marBottom w:val="0"/>
      <w:divBdr>
        <w:top w:val="none" w:sz="0" w:space="0" w:color="auto"/>
        <w:left w:val="none" w:sz="0" w:space="0" w:color="auto"/>
        <w:bottom w:val="none" w:sz="0" w:space="0" w:color="auto"/>
        <w:right w:val="none" w:sz="0" w:space="0" w:color="auto"/>
      </w:divBdr>
    </w:div>
    <w:div w:id="1144852388">
      <w:bodyDiv w:val="1"/>
      <w:marLeft w:val="0"/>
      <w:marRight w:val="0"/>
      <w:marTop w:val="0"/>
      <w:marBottom w:val="0"/>
      <w:divBdr>
        <w:top w:val="none" w:sz="0" w:space="0" w:color="auto"/>
        <w:left w:val="none" w:sz="0" w:space="0" w:color="auto"/>
        <w:bottom w:val="none" w:sz="0" w:space="0" w:color="auto"/>
        <w:right w:val="none" w:sz="0" w:space="0" w:color="auto"/>
      </w:divBdr>
    </w:div>
    <w:div w:id="1312978390">
      <w:bodyDiv w:val="1"/>
      <w:marLeft w:val="0"/>
      <w:marRight w:val="0"/>
      <w:marTop w:val="0"/>
      <w:marBottom w:val="0"/>
      <w:divBdr>
        <w:top w:val="none" w:sz="0" w:space="0" w:color="auto"/>
        <w:left w:val="none" w:sz="0" w:space="0" w:color="auto"/>
        <w:bottom w:val="none" w:sz="0" w:space="0" w:color="auto"/>
        <w:right w:val="none" w:sz="0" w:space="0" w:color="auto"/>
      </w:divBdr>
    </w:div>
    <w:div w:id="1348412791">
      <w:bodyDiv w:val="1"/>
      <w:marLeft w:val="0"/>
      <w:marRight w:val="0"/>
      <w:marTop w:val="0"/>
      <w:marBottom w:val="0"/>
      <w:divBdr>
        <w:top w:val="none" w:sz="0" w:space="0" w:color="auto"/>
        <w:left w:val="none" w:sz="0" w:space="0" w:color="auto"/>
        <w:bottom w:val="none" w:sz="0" w:space="0" w:color="auto"/>
        <w:right w:val="none" w:sz="0" w:space="0" w:color="auto"/>
      </w:divBdr>
    </w:div>
    <w:div w:id="1549757611">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1868760959">
      <w:bodyDiv w:val="1"/>
      <w:marLeft w:val="0"/>
      <w:marRight w:val="0"/>
      <w:marTop w:val="0"/>
      <w:marBottom w:val="0"/>
      <w:divBdr>
        <w:top w:val="none" w:sz="0" w:space="0" w:color="auto"/>
        <w:left w:val="none" w:sz="0" w:space="0" w:color="auto"/>
        <w:bottom w:val="none" w:sz="0" w:space="0" w:color="auto"/>
        <w:right w:val="none" w:sz="0" w:space="0" w:color="auto"/>
      </w:divBdr>
    </w:div>
    <w:div w:id="1880623753">
      <w:bodyDiv w:val="1"/>
      <w:marLeft w:val="0"/>
      <w:marRight w:val="0"/>
      <w:marTop w:val="0"/>
      <w:marBottom w:val="0"/>
      <w:divBdr>
        <w:top w:val="none" w:sz="0" w:space="0" w:color="auto"/>
        <w:left w:val="none" w:sz="0" w:space="0" w:color="auto"/>
        <w:bottom w:val="none" w:sz="0" w:space="0" w:color="auto"/>
        <w:right w:val="none" w:sz="0" w:space="0" w:color="auto"/>
      </w:divBdr>
    </w:div>
    <w:div w:id="1885869783">
      <w:bodyDiv w:val="1"/>
      <w:marLeft w:val="0"/>
      <w:marRight w:val="0"/>
      <w:marTop w:val="0"/>
      <w:marBottom w:val="0"/>
      <w:divBdr>
        <w:top w:val="none" w:sz="0" w:space="0" w:color="auto"/>
        <w:left w:val="none" w:sz="0" w:space="0" w:color="auto"/>
        <w:bottom w:val="none" w:sz="0" w:space="0" w:color="auto"/>
        <w:right w:val="none" w:sz="0" w:space="0" w:color="auto"/>
      </w:divBdr>
    </w:div>
    <w:div w:id="2053267381">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harleston,_Arizon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roniclingamerica.loc.gov/lccn/sn84021939/1882-05-06/ed-1/seq-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Ful67</b:Tag>
    <b:SourceType>JournalArticle</b:SourceType>
    <b:Guid>{CB3DCF5E-29F0-4FDB-B143-6DF6F631D38B}</b:Guid>
    <b:Title>Charleston, Arizona: A Documentary Reconstruction</b:Title>
    <b:JournalName>Arizona and the West</b:JournalName>
    <b:Year>1967</b:Year>
    <b:Pages>41-64</b:Pages>
    <b:Author>
      <b:Author>
        <b:NameList>
          <b:Person>
            <b:Last>Fulton</b:Last>
            <b:Middle>W</b:Middle>
            <b:First>Richard</b:First>
          </b:Person>
          <b:Person>
            <b:Last>Bahre</b:Last>
            <b:Middle>J</b:Middle>
            <b:First>Conrad</b:First>
          </b:Person>
        </b:NameList>
      </b:Author>
    </b:Author>
    <b:RefOrder>1</b:RefOrder>
  </b:Source>
</b:Sources>
</file>

<file path=customXml/itemProps1.xml><?xml version="1.0" encoding="utf-8"?>
<ds:datastoreItem xmlns:ds="http://schemas.openxmlformats.org/officeDocument/2006/customXml" ds:itemID="{F23C2478-E85B-40ED-85C8-5D11CEF8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27</cp:revision>
  <dcterms:created xsi:type="dcterms:W3CDTF">2025-04-22T17:11:00Z</dcterms:created>
  <dcterms:modified xsi:type="dcterms:W3CDTF">2025-04-22T17:42:00Z</dcterms:modified>
</cp:coreProperties>
</file>